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package/2006/relationships/metadata/thumbnail" Target="docProps/thumbnail.jpeg"/></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tabs>
          <w:tab w:val="left" w:pos="22860"/>
        </w:tabs>
        <w:jc w:val="both"/>
        <w:rPr>
          <w:rFonts w:ascii="Times New Roman" w:cs="Times New Roman" w:hAnsi="Times New Roman"/>
          <w:b/>
          <w:sz w:val="26"/>
          <w:szCs w:val="26"/>
        </w:rPr>
      </w:pPr>
      <w:r>
        <w:rPr>
          <w:rFonts w:ascii="Times New Roman" w:cs="Times New Roman" w:hAnsi="Times New Roman"/>
          <w:b/>
          <w:sz w:val="26"/>
          <w:szCs w:val="26"/>
        </w:rPr>
        <w:t>DRAFT COMMUNIQUÉ PRESENTED AT THE END OF THE ONE-DAY LEGISLATIVE STAKEHOLDERS’ WORKSHOP ON THE THEME:</w:t>
      </w:r>
    </w:p>
    <w:p>
      <w:pPr>
        <w:tabs>
          <w:tab w:val="left" w:pos="22860"/>
        </w:tabs>
        <w:jc w:val="both"/>
        <w:rPr>
          <w:rFonts w:ascii="Times New Roman" w:cs="Times New Roman" w:hAnsi="Times New Roman"/>
          <w:b/>
          <w:sz w:val="26"/>
          <w:szCs w:val="26"/>
          <w:u w:val="single"/>
        </w:rPr>
      </w:pPr>
      <w:r>
        <w:rPr>
          <w:rFonts w:ascii="Times New Roman" w:cs="Times New Roman" w:hAnsi="Times New Roman"/>
          <w:b/>
          <w:sz w:val="26"/>
          <w:szCs w:val="26"/>
          <w:u w:val="single"/>
        </w:rPr>
        <w:t>Legislative Stakeholder Synergy For a Transparent and Accountable Upstream Petroleum Sector Held on Monday, 1 December 2025, at Hawthorn Hotel, off Ahmadu Bello Way, Area 11, Garki, Abuja</w:t>
      </w:r>
    </w:p>
    <w:p>
      <w:pPr>
        <w:tabs>
          <w:tab w:val="left" w:pos="22860"/>
        </w:tabs>
        <w:jc w:val="both"/>
        <w:rPr>
          <w:rFonts w:ascii="Times New Roman" w:cs="Times New Roman" w:hAnsi="Times New Roman"/>
          <w:b/>
          <w:sz w:val="26"/>
          <w:szCs w:val="26"/>
        </w:rPr>
      </w:pPr>
    </w:p>
    <w:p>
      <w:pPr>
        <w:tabs>
          <w:tab w:val="left" w:pos="22860"/>
        </w:tabs>
        <w:jc w:val="both"/>
        <w:rPr>
          <w:rFonts w:ascii="Times New Roman" w:cs="Times New Roman" w:hAnsi="Times New Roman"/>
          <w:b/>
          <w:sz w:val="26"/>
          <w:szCs w:val="26"/>
        </w:rPr>
      </w:pPr>
      <w:r>
        <w:rPr>
          <w:rFonts w:ascii="Times New Roman" w:cs="Times New Roman" w:hAnsi="Times New Roman"/>
          <w:b/>
          <w:sz w:val="26"/>
          <w:szCs w:val="26"/>
        </w:rPr>
        <w:t>Preamble</w:t>
      </w:r>
    </w:p>
    <w:p>
      <w:pPr>
        <w:spacing w:before="240" w:after="240"/>
        <w:jc w:val="both"/>
        <w:rPr>
          <w:rFonts w:ascii="Times New Roman" w:cs="Times New Roman" w:hAnsi="Times New Roman"/>
          <w:sz w:val="26"/>
          <w:szCs w:val="26"/>
        </w:rPr>
      </w:pPr>
      <w:r>
        <w:rPr>
          <w:rFonts w:ascii="Times New Roman" w:cs="Times New Roman" w:hAnsi="Times New Roman"/>
          <w:sz w:val="26"/>
          <w:szCs w:val="26"/>
        </w:rPr>
        <w:t xml:space="preserve">The Fiscal Responsibility Commission (FRC) in collaboration with House of Representatives Committee on Petroleum Resources (Upstream) in their bid to ensure transparency and accountability in the petroleum sector convened a One-Day Legislative Stakeholders’ Workshop on the theme </w:t>
      </w:r>
      <w:r>
        <w:rPr>
          <w:rFonts w:ascii="Times New Roman" w:cs="Times New Roman" w:hAnsi="Times New Roman"/>
          <w:b/>
          <w:sz w:val="26"/>
          <w:szCs w:val="26"/>
        </w:rPr>
        <w:t xml:space="preserve">“Legislative–Stakeholders Synergy for a Transparent and Accountable Upstream Petroleum Sector.” </w:t>
      </w:r>
      <w:r>
        <w:rPr>
          <w:rFonts w:ascii="Times New Roman" w:cs="Times New Roman" w:hAnsi="Times New Roman"/>
          <w:sz w:val="26"/>
          <w:szCs w:val="26"/>
        </w:rPr>
        <w:t>The workshop was facilitated by OrderPaper, Nigeria’s foremost independent parliamentary monitoring organization and policy think tank whose mission is to provide simple and reliable parliamentary data to empower citizens take action and make informed decisions. The workshop brought together stakeholders from Fiscal Responsibility Commission, National Assembly members and relevant legislative committees, Nigeria Extractive Industries Transparency Initiative (NEITI), Federal Ministry of Petroleum Resources, Nigeria Upstream Petroleum Regulatory Commission (NUPRC), Oil and gas industry operators, Academia, Civil society organizations and transparency advocates and the Media.</w:t>
      </w:r>
    </w:p>
    <w:p>
      <w:pPr>
        <w:tabs>
          <w:tab w:val="left" w:pos="22860"/>
        </w:tabs>
        <w:jc w:val="both"/>
        <w:rPr>
          <w:rFonts w:ascii="Times New Roman" w:cs="Times New Roman" w:hAnsi="Times New Roman"/>
          <w:sz w:val="26"/>
          <w:szCs w:val="26"/>
        </w:rPr>
      </w:pPr>
      <w:r>
        <w:rPr>
          <w:rFonts w:ascii="Times New Roman" w:cs="Times New Roman" w:hAnsi="Times New Roman"/>
          <w:sz w:val="26"/>
          <w:szCs w:val="26"/>
        </w:rPr>
        <w:t>The event aimed to evaluate the role of the Legislature in enforcing compliance and enhancing sectoral transparency; ensuring accountability and equitable distribution of oil revenues, identifying gaps and proposing solutions in existing laws for better governance.</w:t>
      </w:r>
    </w:p>
    <w:p>
      <w:pPr>
        <w:tabs>
          <w:tab w:val="left" w:pos="22860"/>
        </w:tabs>
        <w:jc w:val="both"/>
        <w:rPr>
          <w:rFonts w:ascii="Times New Roman" w:cs="Times New Roman" w:hAnsi="Times New Roman"/>
          <w:b/>
          <w:sz w:val="26"/>
          <w:szCs w:val="26"/>
        </w:rPr>
      </w:pPr>
      <w:r>
        <w:rPr>
          <w:rFonts w:ascii="Times New Roman" w:cs="Times New Roman" w:hAnsi="Times New Roman"/>
          <w:b/>
          <w:sz w:val="26"/>
          <w:szCs w:val="26"/>
        </w:rPr>
        <w:t>Objectives of the Workshop</w:t>
      </w:r>
    </w:p>
    <w:p>
      <w:pPr>
        <w:tabs>
          <w:tab w:val="left" w:pos="22860"/>
        </w:tabs>
        <w:jc w:val="both"/>
        <w:rPr>
          <w:rFonts w:ascii="Times New Roman" w:cs="Times New Roman" w:hAnsi="Times New Roman"/>
          <w:sz w:val="26"/>
          <w:szCs w:val="26"/>
        </w:rPr>
      </w:pPr>
      <w:r>
        <w:rPr>
          <w:rFonts w:ascii="Times New Roman" w:cs="Times New Roman" w:hAnsi="Times New Roman"/>
          <w:sz w:val="26"/>
          <w:szCs w:val="26"/>
        </w:rPr>
        <w:t>The Workshop was convened to:</w:t>
      </w:r>
    </w:p>
    <w:p>
      <w:pPr>
        <w:pStyle w:val="15"/>
        <w:numPr>
          <w:ilvl w:val="0"/>
          <w:numId w:val="1"/>
        </w:numPr>
        <w:spacing w:before="240" w:after="240"/>
        <w:jc w:val="both"/>
        <w:rPr>
          <w:rFonts w:ascii="Times New Roman" w:cs="Times New Roman" w:hAnsi="Times New Roman"/>
          <w:sz w:val="26"/>
          <w:szCs w:val="26"/>
        </w:rPr>
      </w:pPr>
      <w:r>
        <w:rPr>
          <w:rFonts w:ascii="Times New Roman" w:cs="Times New Roman" w:hAnsi="Times New Roman"/>
          <w:sz w:val="26"/>
          <w:szCs w:val="26"/>
        </w:rPr>
        <w:t>Develop a clearer roadmap for enhancing legislative oversight in Nigeria’s oil upstream sector.</w:t>
      </w:r>
    </w:p>
    <w:p>
      <w:pPr>
        <w:pStyle w:val="15"/>
        <w:numPr>
          <w:ilvl w:val="0"/>
          <w:numId w:val="1"/>
        </w:numPr>
        <w:spacing w:before="240" w:after="240"/>
        <w:jc w:val="both"/>
        <w:rPr>
          <w:rFonts w:ascii="Times New Roman" w:cs="Times New Roman" w:hAnsi="Times New Roman"/>
          <w:sz w:val="26"/>
          <w:szCs w:val="26"/>
        </w:rPr>
      </w:pPr>
      <w:r>
        <w:rPr>
          <w:rFonts w:ascii="Times New Roman" w:cs="Times New Roman" w:hAnsi="Times New Roman"/>
          <w:sz w:val="26"/>
          <w:szCs w:val="26"/>
        </w:rPr>
        <w:t>Recommend ways to strengthen transparency and accountability mechanism.</w:t>
      </w:r>
    </w:p>
    <w:p>
      <w:pPr>
        <w:pStyle w:val="15"/>
        <w:numPr>
          <w:ilvl w:val="0"/>
          <w:numId w:val="1"/>
        </w:numPr>
        <w:spacing w:before="240" w:after="240"/>
        <w:jc w:val="both"/>
        <w:rPr>
          <w:rFonts w:ascii="Times New Roman" w:cs="Times New Roman" w:hAnsi="Times New Roman"/>
          <w:sz w:val="26"/>
          <w:szCs w:val="26"/>
        </w:rPr>
      </w:pPr>
      <w:r>
        <w:rPr>
          <w:rFonts w:ascii="Times New Roman" w:cs="Times New Roman" w:hAnsi="Times New Roman"/>
          <w:sz w:val="26"/>
          <w:szCs w:val="26"/>
        </w:rPr>
        <w:t>Put forward measures for increased and sustainable engagement between legislators, industry players, and host communities on governance issues.</w:t>
      </w:r>
    </w:p>
    <w:p>
      <w:pPr>
        <w:tabs>
          <w:tab w:val="left" w:pos="22860"/>
        </w:tabs>
        <w:jc w:val="both"/>
        <w:rPr>
          <w:rFonts w:ascii="Times New Roman" w:cs="Times New Roman" w:hAnsi="Times New Roman"/>
          <w:b/>
          <w:sz w:val="26"/>
          <w:szCs w:val="26"/>
        </w:rPr>
      </w:pPr>
    </w:p>
    <w:p>
      <w:pPr>
        <w:tabs>
          <w:tab w:val="left" w:pos="22860"/>
        </w:tabs>
        <w:jc w:val="both"/>
        <w:rPr>
          <w:rFonts w:ascii="Times New Roman" w:cs="Times New Roman" w:hAnsi="Times New Roman"/>
          <w:b/>
          <w:sz w:val="26"/>
          <w:szCs w:val="26"/>
        </w:rPr>
      </w:pPr>
    </w:p>
    <w:p>
      <w:pPr>
        <w:tabs>
          <w:tab w:val="left" w:pos="22860"/>
        </w:tabs>
        <w:jc w:val="both"/>
        <w:rPr>
          <w:rFonts w:ascii="Times New Roman" w:cs="Times New Roman" w:hAnsi="Times New Roman"/>
          <w:b/>
          <w:sz w:val="26"/>
          <w:szCs w:val="26"/>
        </w:rPr>
      </w:pPr>
      <w:r>
        <w:rPr>
          <w:rFonts w:ascii="Times New Roman" w:cs="Times New Roman" w:hAnsi="Times New Roman"/>
          <w:b/>
          <w:sz w:val="26"/>
          <w:szCs w:val="26"/>
        </w:rPr>
        <w:t>Welcome Address by Executive Chairman of FRC</w:t>
      </w:r>
    </w:p>
    <w:p>
      <w:pPr>
        <w:tabs>
          <w:tab w:val="left" w:pos="22860"/>
        </w:tabs>
        <w:jc w:val="both"/>
        <w:rPr>
          <w:rFonts w:ascii="Times New Roman" w:cs="Times New Roman" w:hAnsi="Times New Roman"/>
          <w:sz w:val="26"/>
          <w:szCs w:val="26"/>
        </w:rPr>
      </w:pPr>
      <w:r>
        <w:rPr>
          <w:rFonts w:ascii="Times New Roman" w:cs="Times New Roman" w:hAnsi="Times New Roman"/>
          <w:sz w:val="26"/>
          <w:szCs w:val="26"/>
        </w:rPr>
        <w:t>The Executive Chairman in his welcome address acknowledged the support of the House Committee on Petroleum Resources (Upstream) and emphasized FRC’s mandate to promote fiscal discipline and public finance management. Highlighting recent reforms such as the PIA </w:t>
      </w:r>
      <w:r>
        <w:rPr>
          <w:rStyle w:val="16"/>
          <w:rFonts w:ascii="Times New Roman" w:cs="Times New Roman" w:hAnsi="Times New Roman"/>
          <w:color w:val="auto"/>
          <w:sz w:val="26"/>
          <w:szCs w:val="26"/>
          <w:u w:val="none"/>
        </w:rPr>
        <w:fldChar w:fldCharType="begin"/>
      </w:r>
      <w:r>
        <w:instrText>HYPERLINK "tel:2021"</w:instrText>
      </w:r>
      <w:r>
        <w:rPr>
          <w:rStyle w:val="16"/>
          <w:rFonts w:ascii="Times New Roman" w:cs="Times New Roman" w:hAnsi="Times New Roman"/>
          <w:color w:val="auto"/>
          <w:sz w:val="26"/>
          <w:szCs w:val="26"/>
          <w:u w:val="none"/>
        </w:rPr>
        <w:fldChar w:fldCharType="separate"/>
      </w:r>
      <w:r>
        <w:rPr>
          <w:rStyle w:val="16"/>
          <w:rFonts w:ascii="Times New Roman" w:cs="Times New Roman" w:hAnsi="Times New Roman"/>
          <w:color w:val="auto"/>
          <w:sz w:val="26"/>
          <w:szCs w:val="26"/>
          <w:u w:val="none"/>
        </w:rPr>
        <w:t>2021</w:t>
      </w:r>
      <w:r>
        <w:rPr>
          <w:rStyle w:val="16"/>
          <w:rFonts w:ascii="Times New Roman" w:cs="Times New Roman" w:hAnsi="Times New Roman"/>
          <w:color w:val="auto"/>
          <w:sz w:val="26"/>
          <w:szCs w:val="26"/>
          <w:u w:val="none"/>
        </w:rPr>
        <w:fldChar w:fldCharType="end"/>
      </w:r>
      <w:r>
        <w:rPr>
          <w:rFonts w:ascii="Times New Roman" w:cs="Times New Roman" w:hAnsi="Times New Roman"/>
          <w:sz w:val="26"/>
          <w:szCs w:val="26"/>
        </w:rPr>
        <w:t xml:space="preserve"> which is a game-changer and the sector’s continued challenges including security issues, oil theft and the need for stronger Environmental, Social and Governance compliance and sustainable industry practices. He noted that the workshop will review legal frameworks, share best global practices, and present a Policy Brief on legislative governance and its impact on fiscal transparency to ensure that oil revenues are properly accounted for. He thanked the National Assembly Committees, particularly on Finance, for their support and urged all stakeholders especially those in the anti-corruption family, media and civil society to engage actively toward building a more transparent and to achieve an accountable petroleum sector for Nigeria.</w:t>
      </w:r>
    </w:p>
    <w:p>
      <w:pPr>
        <w:tabs>
          <w:tab w:val="left" w:pos="22860"/>
        </w:tabs>
        <w:jc w:val="both"/>
        <w:rPr>
          <w:rFonts w:ascii="Times New Roman" w:cs="Times New Roman" w:hAnsi="Times New Roman"/>
          <w:b/>
          <w:sz w:val="26"/>
          <w:szCs w:val="26"/>
        </w:rPr>
      </w:pPr>
      <w:r>
        <w:rPr>
          <w:rFonts w:ascii="Times New Roman" w:cs="Times New Roman" w:hAnsi="Times New Roman"/>
          <w:b/>
          <w:sz w:val="26"/>
          <w:szCs w:val="26"/>
        </w:rPr>
        <w:t>Goodwill Messages</w:t>
      </w:r>
    </w:p>
    <w:p>
      <w:pPr>
        <w:tabs>
          <w:tab w:val="left" w:pos="22860"/>
        </w:tabs>
        <w:jc w:val="both"/>
        <w:rPr>
          <w:rFonts w:ascii="Times New Roman" w:cs="Times New Roman" w:hAnsi="Times New Roman"/>
          <w:sz w:val="26"/>
          <w:szCs w:val="26"/>
        </w:rPr>
      </w:pPr>
      <w:r>
        <w:rPr>
          <w:rFonts w:ascii="Times New Roman" w:cs="Times New Roman" w:hAnsi="Times New Roman"/>
          <w:sz w:val="26"/>
          <w:szCs w:val="26"/>
        </w:rPr>
        <w:t>Goodwill messages were delivered by several key persons including a representative of the Chairman of the EFCC, a representative of the Chairman of the House Committee on Petroleum resources (Upstream), and a Representative from the NUPRC collectively emphasizing the need for innovation, data-driven decision-making, and strong collaborative partnerships across regulators, operators, host communities, and oversight institutions. They all noted that the petroleum sector is central to Nigeria’s economic stability and requires consistent efforts to strengthen transparency, accountability, and investor confidence in the sector. Together, they affirmed that through integrity, efficiency, and purposeful synergy, the sector can deliver smarter operations, sustainable development, and long-term prosperity for all stakeholders.</w:t>
      </w:r>
    </w:p>
    <w:p>
      <w:pPr>
        <w:tabs>
          <w:tab w:val="left" w:pos="22860"/>
        </w:tabs>
        <w:jc w:val="both"/>
        <w:rPr>
          <w:rFonts w:ascii="Times New Roman" w:cs="Times New Roman" w:hAnsi="Times New Roman"/>
          <w:b/>
          <w:sz w:val="26"/>
          <w:szCs w:val="26"/>
        </w:rPr>
      </w:pPr>
      <w:r>
        <w:rPr>
          <w:rFonts w:ascii="Times New Roman" w:cs="Times New Roman" w:hAnsi="Times New Roman"/>
          <w:b/>
          <w:sz w:val="26"/>
          <w:szCs w:val="26"/>
        </w:rPr>
        <w:t>Research and Policy Brief Presentation</w:t>
      </w:r>
    </w:p>
    <w:p>
      <w:pPr>
        <w:tabs>
          <w:tab w:val="left" w:pos="22860"/>
        </w:tabs>
        <w:jc w:val="both"/>
        <w:rPr>
          <w:rFonts w:ascii="Times New Roman" w:cs="Times New Roman" w:hAnsi="Times New Roman"/>
          <w:sz w:val="26"/>
          <w:szCs w:val="26"/>
        </w:rPr>
      </w:pPr>
      <w:r>
        <w:rPr>
          <w:rFonts w:ascii="Times New Roman" w:cs="Times New Roman" w:hAnsi="Times New Roman"/>
          <w:sz w:val="26"/>
          <w:szCs w:val="26"/>
        </w:rPr>
        <w:t>A key highlight of the workshop was the presentation of “Governance of Nigeria’s Petroleum Sector” (Fiscal Imperatives and the 10</w:t>
      </w:r>
      <w:r>
        <w:rPr>
          <w:rFonts w:ascii="Times New Roman" w:cs="Times New Roman" w:hAnsi="Times New Roman"/>
          <w:sz w:val="26"/>
          <w:szCs w:val="26"/>
          <w:vertAlign w:val="superscript"/>
        </w:rPr>
        <w:t>th</w:t>
      </w:r>
      <w:r>
        <w:rPr>
          <w:rFonts w:ascii="Times New Roman" w:cs="Times New Roman" w:hAnsi="Times New Roman"/>
          <w:sz w:val="26"/>
          <w:szCs w:val="26"/>
        </w:rPr>
        <w:t xml:space="preserve"> National Assembly) a Policy Brief document  arising from a research on the 10th Assembly’s Legislative Governance of the Upstream Sector and impacts on fiscal transparency. The research evaluated the role of the legislature in enforcing best practices, compliance, and enhancing sectoral transparency. The document identified gaps in existing laws and proposed solutions for better governance of the upstream sub-sector to ensure oil revenues are properly accounted for and equitably distributed.</w:t>
      </w:r>
    </w:p>
    <w:p>
      <w:pPr>
        <w:tabs>
          <w:tab w:val="left" w:pos="22860"/>
        </w:tabs>
        <w:jc w:val="both"/>
        <w:rPr>
          <w:rFonts w:ascii="Times New Roman" w:cs="Times New Roman" w:hAnsi="Times New Roman"/>
          <w:b/>
          <w:sz w:val="26"/>
          <w:szCs w:val="26"/>
        </w:rPr>
      </w:pPr>
    </w:p>
    <w:p>
      <w:pPr>
        <w:tabs>
          <w:tab w:val="left" w:pos="22860"/>
        </w:tabs>
        <w:jc w:val="both"/>
        <w:rPr>
          <w:rFonts w:ascii="Times New Roman" w:cs="Times New Roman" w:hAnsi="Times New Roman"/>
          <w:b/>
          <w:sz w:val="26"/>
          <w:szCs w:val="26"/>
        </w:rPr>
      </w:pPr>
      <w:r>
        <w:rPr>
          <w:rFonts w:ascii="Times New Roman" w:cs="Times New Roman" w:hAnsi="Times New Roman"/>
          <w:b/>
          <w:sz w:val="26"/>
          <w:szCs w:val="26"/>
        </w:rPr>
        <w:t>Presentations and Discussions</w:t>
      </w:r>
    </w:p>
    <w:p>
      <w:pPr>
        <w:tabs>
          <w:tab w:val="left" w:pos="22860"/>
        </w:tabs>
        <w:jc w:val="both"/>
        <w:rPr>
          <w:rFonts w:ascii="Times New Roman" w:cs="Times New Roman" w:hAnsi="Times New Roman"/>
          <w:sz w:val="26"/>
          <w:szCs w:val="26"/>
        </w:rPr>
      </w:pPr>
      <w:r>
        <w:rPr>
          <w:rFonts w:ascii="Times New Roman" w:cs="Times New Roman" w:hAnsi="Times New Roman"/>
          <w:sz w:val="26"/>
          <w:szCs w:val="26"/>
        </w:rPr>
        <w:t>Presentations and technical sessions provided insights into the following key areas:</w:t>
      </w:r>
    </w:p>
    <w:p>
      <w:pPr>
        <w:tabs>
          <w:tab w:val="left" w:pos="22860"/>
        </w:tabs>
        <w:jc w:val="both"/>
        <w:rPr>
          <w:rFonts w:ascii="Times New Roman" w:cs="Times New Roman" w:hAnsi="Times New Roman"/>
          <w:sz w:val="26"/>
          <w:szCs w:val="26"/>
        </w:rPr>
      </w:pPr>
      <w:r>
        <w:rPr>
          <w:rFonts w:ascii="Times New Roman" w:cs="Times New Roman" w:hAnsi="Times New Roman"/>
          <w:b/>
          <w:sz w:val="26"/>
          <w:szCs w:val="26"/>
        </w:rPr>
        <w:t>The first paper presented by Mr Ademola Henry Adigun titled</w:t>
      </w:r>
      <w:r>
        <w:rPr>
          <w:rFonts w:ascii="Times New Roman" w:cs="Times New Roman" w:hAnsi="Times New Roman"/>
          <w:sz w:val="26"/>
          <w:szCs w:val="26"/>
        </w:rPr>
        <w:t xml:space="preserve"> </w:t>
      </w:r>
      <w:r>
        <w:rPr>
          <w:rFonts w:ascii="Times New Roman" w:cs="Times New Roman" w:hAnsi="Times New Roman"/>
          <w:b/>
          <w:sz w:val="26"/>
          <w:szCs w:val="26"/>
        </w:rPr>
        <w:t>PIA and Competitiveness</w:t>
      </w:r>
      <w:r>
        <w:rPr>
          <w:rFonts w:ascii="Times New Roman" w:cs="Times New Roman" w:hAnsi="Times New Roman"/>
          <w:sz w:val="26"/>
          <w:szCs w:val="26"/>
        </w:rPr>
        <w:t xml:space="preserve"> highlighted the essence and scope of Petroleum resource management framework. The Framework aims to deliver optimal economic outcomes, ensure infrastructure is fully utilized, and manage operations sustainably for current and future generations. It emphasized clear policy, legal, and fiscal frameworks, good governance, and transparency in revenue distribution and management. The framework includes efficient resource management, investment in sustainable development, and environmental stewardship.</w:t>
      </w:r>
    </w:p>
    <w:p>
      <w:pPr>
        <w:tabs>
          <w:tab w:val="left" w:pos="22860"/>
        </w:tabs>
        <w:jc w:val="both"/>
        <w:rPr>
          <w:rFonts w:ascii="Times New Roman" w:cs="Times New Roman" w:hAnsi="Times New Roman"/>
          <w:sz w:val="26"/>
          <w:szCs w:val="26"/>
        </w:rPr>
      </w:pPr>
      <w:r>
        <w:rPr>
          <w:rFonts w:ascii="Times New Roman" w:cs="Times New Roman" w:hAnsi="Times New Roman"/>
          <w:sz w:val="26"/>
          <w:szCs w:val="26"/>
        </w:rPr>
        <w:t>He emphasized that the PIA 2021 addresses key issues in the Petroleum Sector like revenue shortfalls, declining investments, governance inefficiencies, and outdated policies with objectives to establish clear governance roles, create commercially driven entities, and promote transparency and accountability in the petroleum sector. Core principles focus on removing legal uncertainties, improving competitiveness, ensuring fairness, and fostering long-term sustainability.</w:t>
      </w:r>
    </w:p>
    <w:p>
      <w:pPr>
        <w:jc w:val="both"/>
        <w:rPr>
          <w:rFonts w:ascii="Times New Roman" w:cs="Times New Roman" w:hAnsi="Times New Roman"/>
          <w:color w:val="000000"/>
          <w:sz w:val="26"/>
          <w:szCs w:val="26"/>
        </w:rPr>
      </w:pPr>
      <w:r>
        <w:rPr>
          <w:rFonts w:ascii="Times New Roman" w:cs="Times New Roman" w:hAnsi="Times New Roman"/>
          <w:b/>
          <w:sz w:val="26"/>
          <w:szCs w:val="26"/>
        </w:rPr>
        <w:t>The Second presentation --Transparency and Accountability in the Upstream Petroleum Industry Post-PIA (</w:t>
      </w:r>
      <w:r>
        <w:rPr>
          <w:rStyle w:val="16"/>
          <w:rFonts w:ascii="Times New Roman" w:cs="Times New Roman" w:hAnsi="Times New Roman"/>
          <w:b/>
          <w:color w:val="auto"/>
          <w:sz w:val="26"/>
          <w:szCs w:val="26"/>
          <w:u w:val="none"/>
        </w:rPr>
        <w:fldChar w:fldCharType="begin"/>
      </w:r>
      <w:r>
        <w:instrText>HYPERLINK "tel:2021"</w:instrText>
      </w:r>
      <w:r>
        <w:rPr>
          <w:rStyle w:val="16"/>
          <w:rFonts w:ascii="Times New Roman" w:cs="Times New Roman" w:hAnsi="Times New Roman"/>
          <w:b/>
          <w:color w:val="auto"/>
          <w:sz w:val="26"/>
          <w:szCs w:val="26"/>
          <w:u w:val="none"/>
        </w:rPr>
        <w:fldChar w:fldCharType="separate"/>
      </w:r>
      <w:r>
        <w:rPr>
          <w:rStyle w:val="16"/>
          <w:rFonts w:ascii="Times New Roman" w:cs="Times New Roman" w:hAnsi="Times New Roman"/>
          <w:b/>
          <w:color w:val="auto"/>
          <w:sz w:val="26"/>
          <w:szCs w:val="26"/>
          <w:u w:val="none"/>
        </w:rPr>
        <w:t>2021</w:t>
      </w:r>
      <w:r>
        <w:rPr>
          <w:rStyle w:val="16"/>
          <w:rFonts w:ascii="Times New Roman" w:cs="Times New Roman" w:hAnsi="Times New Roman"/>
          <w:b/>
          <w:color w:val="auto"/>
          <w:sz w:val="26"/>
          <w:szCs w:val="26"/>
          <w:u w:val="none"/>
        </w:rPr>
        <w:fldChar w:fldCharType="end"/>
      </w:r>
      <w:r>
        <w:rPr>
          <w:rFonts w:ascii="Times New Roman" w:cs="Times New Roman" w:hAnsi="Times New Roman"/>
          <w:b/>
          <w:sz w:val="26"/>
          <w:szCs w:val="26"/>
        </w:rPr>
        <w:t>) by Dr. Michael Uzoigwe</w:t>
      </w:r>
      <w:r>
        <w:rPr>
          <w:rFonts w:ascii="Times New Roman" w:cs="Times New Roman" w:hAnsi="Times New Roman"/>
          <w:sz w:val="26"/>
          <w:szCs w:val="26"/>
        </w:rPr>
        <w:t xml:space="preserve"> h</w:t>
      </w:r>
      <w:r>
        <w:rPr>
          <w:rFonts w:ascii="Times New Roman" w:cs="Times New Roman" w:hAnsi="Times New Roman"/>
          <w:color w:val="000000"/>
          <w:sz w:val="26"/>
          <w:szCs w:val="26"/>
        </w:rPr>
        <w:t>ighlighted the core transparency and accountability provisions contained in the Petroleum Industry Act (PIA) </w:t>
      </w:r>
      <w:r>
        <w:rPr>
          <w:rStyle w:val="16"/>
          <w:rFonts w:ascii="Times New Roman" w:cs="Times New Roman" w:hAnsi="Times New Roman"/>
          <w:color w:val="000000"/>
          <w:sz w:val="26"/>
          <w:szCs w:val="26"/>
          <w:u w:val="none"/>
        </w:rPr>
        <w:fldChar w:fldCharType="begin"/>
      </w:r>
      <w:r>
        <w:instrText>HYPERLINK "tel:2021"</w:instrText>
      </w:r>
      <w:r>
        <w:rPr>
          <w:rStyle w:val="16"/>
          <w:rFonts w:ascii="Times New Roman" w:cs="Times New Roman" w:hAnsi="Times New Roman"/>
          <w:color w:val="000000"/>
          <w:sz w:val="26"/>
          <w:szCs w:val="26"/>
          <w:u w:val="none"/>
        </w:rPr>
        <w:fldChar w:fldCharType="separate"/>
      </w:r>
      <w:r>
        <w:rPr>
          <w:rStyle w:val="16"/>
          <w:rFonts w:ascii="Times New Roman" w:cs="Times New Roman" w:hAnsi="Times New Roman"/>
          <w:color w:val="000000"/>
          <w:sz w:val="26"/>
          <w:szCs w:val="26"/>
          <w:u w:val="none"/>
        </w:rPr>
        <w:t>2021</w:t>
      </w:r>
      <w:r>
        <w:rPr>
          <w:rStyle w:val="16"/>
          <w:rFonts w:ascii="Times New Roman" w:cs="Times New Roman" w:hAnsi="Times New Roman"/>
          <w:color w:val="000000"/>
          <w:sz w:val="26"/>
          <w:szCs w:val="26"/>
          <w:u w:val="none"/>
        </w:rPr>
        <w:fldChar w:fldCharType="end"/>
      </w:r>
      <w:r>
        <w:rPr>
          <w:rFonts w:ascii="Times New Roman" w:cs="Times New Roman" w:hAnsi="Times New Roman"/>
          <w:color w:val="000000"/>
          <w:sz w:val="26"/>
          <w:szCs w:val="26"/>
        </w:rPr>
        <w:t> and assessed their alignment with global best practices as well as current implementation gaps. It emphasized that while the Act has introduced strong transparency and accountability measures such as mandatory publication of contracts, disclosure of beneficial ownership, and the establishment of Host Community Development Trusts, implementation gaps remain. Contract transparency is improving but still limited in scope and public engagement. Beneficial ownership registers exist, yet challenges persist. Host Community Development Trusts have received significant funding, but concerns remain over adequacy, community ownership, and clarity of obligations. Overall, the PIA has strengthened sector governance and boosted investor confidence, but stronger legislative oversight is needed to address gaps and fully realize its transparency and accountability goals.</w:t>
      </w:r>
    </w:p>
    <w:p>
      <w:pPr>
        <w:tabs>
          <w:tab w:val="left" w:pos="22860"/>
        </w:tabs>
        <w:jc w:val="both"/>
        <w:rPr>
          <w:rFonts w:ascii="Times New Roman" w:cs="Times New Roman" w:hAnsi="Times New Roman"/>
          <w:sz w:val="26"/>
          <w:szCs w:val="26"/>
        </w:rPr>
      </w:pPr>
      <w:r>
        <w:rPr>
          <w:rFonts w:ascii="Times New Roman" w:cs="Times New Roman" w:hAnsi="Times New Roman"/>
          <w:b/>
          <w:sz w:val="26"/>
          <w:szCs w:val="26"/>
        </w:rPr>
        <w:t>The Third paper presented by Barr. Charles C. Abana Esq., Director of Legal, Investigation and Enforcement at the Fiscal Responsibility Commission (FRC),</w:t>
      </w:r>
      <w:r>
        <w:rPr>
          <w:rFonts w:ascii="Times New Roman" w:cs="Times New Roman" w:hAnsi="Times New Roman"/>
          <w:sz w:val="26"/>
          <w:szCs w:val="26"/>
        </w:rPr>
        <w:t xml:space="preserve"> He highlighted the crucial role of Fiscal Responsibility in strengthening Nigeria’s petroleum sector. He explained that while the industry had long suffered from outdated laws, inefficiency, opacity, and corruption, the Fiscal Responsibility Act (FRA) 2007 alongside the Petroleum Industry Act (PIA) 2021 provides a framework to curb leakages, improve accountability, and support host community development. The presentation emphasized how the FRA can help streamline operations, reduce resource diversion, and enhance Independent Generated Revenue (IGR) within the petroleum sector. To foster synergy and improve revenue performance, he recommended a shift toward treating all generated revenue as public funds, investment in digital financial systems for better tracking and transparency, stronger collaboration and information sharing among stakeholders, improved staff welfare to deter corruption, and decisive action against impunity through prosecution of offenders.</w:t>
      </w:r>
    </w:p>
    <w:p>
      <w:pPr>
        <w:tabs>
          <w:tab w:val="left" w:pos="22860"/>
        </w:tabs>
        <w:jc w:val="both"/>
        <w:rPr>
          <w:rFonts w:ascii="Times New Roman" w:cs="Times New Roman" w:hAnsi="Times New Roman"/>
          <w:b/>
          <w:sz w:val="26"/>
          <w:szCs w:val="26"/>
        </w:rPr>
      </w:pPr>
    </w:p>
    <w:p>
      <w:pPr>
        <w:tabs>
          <w:tab w:val="left" w:pos="22860"/>
        </w:tabs>
        <w:jc w:val="both"/>
        <w:rPr>
          <w:rFonts w:ascii="Times New Roman" w:cs="Times New Roman" w:hAnsi="Times New Roman"/>
          <w:b/>
          <w:sz w:val="26"/>
          <w:szCs w:val="26"/>
        </w:rPr>
      </w:pPr>
      <w:r>
        <w:rPr>
          <w:rFonts w:ascii="Times New Roman" w:cs="Times New Roman" w:hAnsi="Times New Roman"/>
          <w:b/>
          <w:sz w:val="26"/>
          <w:szCs w:val="26"/>
        </w:rPr>
        <w:t>KEY OBSERVATIONS</w:t>
      </w:r>
    </w:p>
    <w:p>
      <w:pPr>
        <w:tabs>
          <w:tab w:val="left" w:pos="22860"/>
        </w:tabs>
        <w:jc w:val="both"/>
        <w:rPr>
          <w:rFonts w:ascii="Times New Roman" w:cs="Times New Roman" w:hAnsi="Times New Roman"/>
          <w:sz w:val="26"/>
          <w:szCs w:val="26"/>
        </w:rPr>
      </w:pPr>
      <w:r>
        <w:rPr>
          <w:rFonts w:ascii="Times New Roman" w:cs="Times New Roman" w:hAnsi="Times New Roman"/>
          <w:sz w:val="26"/>
          <w:szCs w:val="26"/>
        </w:rPr>
        <w:t>It was observed that:</w:t>
      </w:r>
    </w:p>
    <w:p>
      <w:pPr>
        <w:pStyle w:val="15"/>
        <w:numPr>
          <w:ilvl w:val="0"/>
          <w:numId w:val="2"/>
        </w:numPr>
        <w:tabs>
          <w:tab w:val="left" w:pos="22860"/>
        </w:tabs>
        <w:jc w:val="both"/>
        <w:rPr>
          <w:rFonts w:ascii="Times New Roman" w:cs="Times New Roman" w:hAnsi="Times New Roman"/>
          <w:sz w:val="26"/>
          <w:szCs w:val="26"/>
        </w:rPr>
      </w:pPr>
      <w:r>
        <w:rPr>
          <w:rFonts w:ascii="Times New Roman" w:cs="Times New Roman" w:hAnsi="Times New Roman"/>
          <w:sz w:val="26"/>
          <w:szCs w:val="26"/>
        </w:rPr>
        <w:t>Despite ongoing reforms, significant gaps remain in transparency and data consistency across the upstream petroleum value chain.</w:t>
      </w:r>
    </w:p>
    <w:p>
      <w:pPr>
        <w:pStyle w:val="15"/>
        <w:numPr>
          <w:ilvl w:val="0"/>
          <w:numId w:val="2"/>
        </w:numPr>
        <w:tabs>
          <w:tab w:val="left" w:pos="22860"/>
        </w:tabs>
        <w:jc w:val="both"/>
        <w:rPr>
          <w:rFonts w:ascii="Times New Roman" w:cs="Times New Roman" w:hAnsi="Times New Roman"/>
          <w:sz w:val="26"/>
          <w:szCs w:val="26"/>
        </w:rPr>
      </w:pPr>
      <w:r>
        <w:rPr>
          <w:rFonts w:ascii="Times New Roman" w:cs="Times New Roman" w:hAnsi="Times New Roman"/>
          <w:sz w:val="26"/>
          <w:szCs w:val="26"/>
        </w:rPr>
        <w:t>Coordination between regulatory agencies and the National Assembly needs strengthening to support effective fiscal oversight.</w:t>
      </w:r>
    </w:p>
    <w:p>
      <w:pPr>
        <w:pStyle w:val="15"/>
        <w:numPr>
          <w:ilvl w:val="0"/>
          <w:numId w:val="2"/>
        </w:numPr>
        <w:tabs>
          <w:tab w:val="left" w:pos="22860"/>
        </w:tabs>
        <w:jc w:val="both"/>
        <w:rPr>
          <w:rFonts w:ascii="Times New Roman" w:cs="Times New Roman" w:hAnsi="Times New Roman"/>
          <w:sz w:val="26"/>
          <w:szCs w:val="26"/>
        </w:rPr>
      </w:pPr>
      <w:r>
        <w:rPr>
          <w:rFonts w:ascii="Times New Roman" w:cs="Times New Roman" w:hAnsi="Times New Roman"/>
          <w:sz w:val="26"/>
          <w:szCs w:val="26"/>
        </w:rPr>
        <w:t>Enhanced civil-society engagement can promote better accountability and public trust in the sector.</w:t>
      </w:r>
    </w:p>
    <w:p>
      <w:pPr>
        <w:pStyle w:val="15"/>
        <w:numPr>
          <w:ilvl w:val="0"/>
          <w:numId w:val="2"/>
        </w:numPr>
        <w:tabs>
          <w:tab w:val="left" w:pos="22860"/>
        </w:tabs>
        <w:jc w:val="both"/>
        <w:rPr>
          <w:rFonts w:ascii="Times New Roman" w:cs="Times New Roman" w:hAnsi="Times New Roman"/>
          <w:sz w:val="26"/>
          <w:szCs w:val="26"/>
        </w:rPr>
      </w:pPr>
      <w:r>
        <w:rPr>
          <w:rFonts w:ascii="Times New Roman" w:cs="Times New Roman" w:hAnsi="Times New Roman"/>
          <w:sz w:val="26"/>
          <w:szCs w:val="26"/>
        </w:rPr>
        <w:t>The Petroleum Resource Management Framework emphasizes the need for clear policies, legal frameworks, and transparent governance to achieve sustainable growth and economic benefits.</w:t>
      </w:r>
    </w:p>
    <w:p>
      <w:pPr>
        <w:pStyle w:val="15"/>
        <w:numPr>
          <w:ilvl w:val="0"/>
          <w:numId w:val="2"/>
        </w:numPr>
        <w:tabs>
          <w:tab w:val="left" w:pos="22860"/>
        </w:tabs>
        <w:jc w:val="both"/>
        <w:rPr>
          <w:rFonts w:ascii="Times New Roman" w:cs="Times New Roman" w:hAnsi="Times New Roman"/>
          <w:sz w:val="26"/>
          <w:szCs w:val="26"/>
        </w:rPr>
      </w:pPr>
      <w:r>
        <w:rPr>
          <w:rFonts w:ascii="Times New Roman" w:cs="Times New Roman" w:hAnsi="Times New Roman"/>
          <w:sz w:val="26"/>
          <w:szCs w:val="26"/>
        </w:rPr>
        <w:t>Effective governance and institutional structures are crucial for enhancing efficiency and accountability within the sector.</w:t>
      </w:r>
    </w:p>
    <w:p>
      <w:pPr>
        <w:pStyle w:val="15"/>
        <w:numPr>
          <w:ilvl w:val="0"/>
          <w:numId w:val="2"/>
        </w:numPr>
        <w:tabs>
          <w:tab w:val="left" w:pos="22860"/>
        </w:tabs>
        <w:jc w:val="both"/>
        <w:rPr>
          <w:rFonts w:ascii="Times New Roman" w:cs="Times New Roman" w:hAnsi="Times New Roman"/>
          <w:b/>
          <w:sz w:val="26"/>
          <w:szCs w:val="26"/>
        </w:rPr>
      </w:pPr>
      <w:r>
        <w:rPr>
          <w:rFonts w:ascii="Times New Roman" w:cs="Times New Roman" w:hAnsi="Times New Roman"/>
          <w:sz w:val="26"/>
          <w:szCs w:val="26"/>
        </w:rPr>
        <w:t>The PIA aims to promote transparency, establish commercially viable entities, and improve governance practices.</w:t>
      </w:r>
    </w:p>
    <w:p>
      <w:pPr>
        <w:pStyle w:val="15"/>
        <w:numPr>
          <w:ilvl w:val="0"/>
          <w:numId w:val="2"/>
        </w:numPr>
        <w:tabs>
          <w:tab w:val="left" w:pos="22860"/>
        </w:tabs>
        <w:jc w:val="both"/>
        <w:rPr>
          <w:rFonts w:ascii="Times New Roman" w:cs="Times New Roman" w:hAnsi="Times New Roman"/>
          <w:sz w:val="26"/>
          <w:szCs w:val="26"/>
        </w:rPr>
      </w:pPr>
      <w:r>
        <w:rPr>
          <w:rFonts w:ascii="Times New Roman" w:cs="Times New Roman" w:hAnsi="Times New Roman"/>
          <w:sz w:val="26"/>
          <w:szCs w:val="26"/>
        </w:rPr>
        <w:t>No company in the host communities has been sanctioned for violating their social obligations</w:t>
      </w:r>
    </w:p>
    <w:p>
      <w:pPr>
        <w:pStyle w:val="15"/>
        <w:numPr>
          <w:ilvl w:val="0"/>
          <w:numId w:val="2"/>
        </w:numPr>
        <w:tabs>
          <w:tab w:val="left" w:pos="22860"/>
        </w:tabs>
        <w:jc w:val="both"/>
        <w:rPr>
          <w:rFonts w:ascii="Times New Roman" w:cs="Times New Roman" w:hAnsi="Times New Roman"/>
          <w:sz w:val="26"/>
          <w:szCs w:val="26"/>
        </w:rPr>
      </w:pPr>
      <w:r>
        <w:rPr>
          <w:rFonts w:ascii="Times New Roman" w:cs="Times New Roman" w:hAnsi="Times New Roman"/>
          <w:sz w:val="26"/>
          <w:szCs w:val="26"/>
        </w:rPr>
        <w:t>Communities that receive OPEX funds are expected to reserve a certain percentage for the future.</w:t>
      </w:r>
    </w:p>
    <w:p>
      <w:pPr>
        <w:pStyle w:val="15"/>
        <w:numPr>
          <w:ilvl w:val="0"/>
          <w:numId w:val="2"/>
        </w:numPr>
        <w:tabs>
          <w:tab w:val="left" w:pos="22860"/>
        </w:tabs>
        <w:jc w:val="both"/>
        <w:rPr>
          <w:rFonts w:ascii="Times New Roman" w:cs="Times New Roman" w:hAnsi="Times New Roman"/>
          <w:sz w:val="26"/>
          <w:szCs w:val="26"/>
        </w:rPr>
      </w:pPr>
      <w:r>
        <w:rPr>
          <w:rFonts w:ascii="Times New Roman" w:cs="Times New Roman" w:hAnsi="Times New Roman"/>
          <w:sz w:val="26"/>
          <w:szCs w:val="26"/>
        </w:rPr>
        <w:t>FRA practices and processes lead to effective Public Finance Management and gives Transparency to the system.</w:t>
      </w:r>
    </w:p>
    <w:p>
      <w:pPr>
        <w:pStyle w:val="15"/>
        <w:numPr>
          <w:ilvl w:val="0"/>
          <w:numId w:val="2"/>
        </w:numPr>
        <w:tabs>
          <w:tab w:val="left" w:pos="22860"/>
        </w:tabs>
        <w:jc w:val="both"/>
        <w:rPr>
          <w:rFonts w:ascii="Times New Roman" w:cs="Times New Roman" w:hAnsi="Times New Roman"/>
          <w:sz w:val="26"/>
          <w:szCs w:val="26"/>
        </w:rPr>
      </w:pPr>
      <w:r>
        <w:rPr>
          <w:rFonts w:ascii="Times New Roman" w:cs="Times New Roman" w:hAnsi="Times New Roman"/>
          <w:sz w:val="26"/>
          <w:szCs w:val="26"/>
        </w:rPr>
        <w:t>The FRC’s role is to regulate the regulators.</w:t>
      </w:r>
    </w:p>
    <w:p>
      <w:pPr>
        <w:pStyle w:val="15"/>
        <w:numPr>
          <w:ilvl w:val="0"/>
          <w:numId w:val="2"/>
        </w:numPr>
        <w:tabs>
          <w:tab w:val="left" w:pos="22860"/>
        </w:tabs>
        <w:jc w:val="both"/>
        <w:rPr>
          <w:rFonts w:ascii="Times New Roman" w:cs="Times New Roman" w:hAnsi="Times New Roman"/>
          <w:sz w:val="26"/>
          <w:szCs w:val="26"/>
        </w:rPr>
      </w:pPr>
      <w:r>
        <w:rPr>
          <w:rFonts w:ascii="Times New Roman" w:cs="Times New Roman" w:hAnsi="Times New Roman"/>
          <w:sz w:val="26"/>
          <w:szCs w:val="26"/>
        </w:rPr>
        <w:t xml:space="preserve">The FRC is building capacity in subnationals in Compliance with the  Fiscal Responsibility laws. </w:t>
      </w:r>
    </w:p>
    <w:p>
      <w:pPr>
        <w:pStyle w:val="15"/>
        <w:numPr>
          <w:ilvl w:val="0"/>
          <w:numId w:val="2"/>
        </w:numPr>
        <w:tabs>
          <w:tab w:val="left" w:pos="22860"/>
        </w:tabs>
        <w:jc w:val="both"/>
        <w:rPr>
          <w:rFonts w:ascii="Times New Roman" w:cs="Times New Roman" w:hAnsi="Times New Roman"/>
          <w:sz w:val="26"/>
          <w:szCs w:val="26"/>
        </w:rPr>
      </w:pPr>
      <w:r>
        <w:rPr>
          <w:rFonts w:ascii="Times New Roman" w:cs="Times New Roman" w:hAnsi="Times New Roman"/>
          <w:sz w:val="26"/>
          <w:szCs w:val="26"/>
        </w:rPr>
        <w:t>The FRC has the power to compel disclosure of information on revenue and expenditure from any person or entity but lacks the power to sanction.</w:t>
      </w:r>
    </w:p>
    <w:p>
      <w:pPr>
        <w:pStyle w:val="15"/>
        <w:numPr>
          <w:ilvl w:val="0"/>
          <w:numId w:val="2"/>
        </w:numPr>
        <w:tabs>
          <w:tab w:val="left" w:pos="22860"/>
        </w:tabs>
        <w:jc w:val="both"/>
        <w:rPr>
          <w:rFonts w:ascii="Times New Roman" w:cs="Times New Roman" w:hAnsi="Times New Roman"/>
          <w:sz w:val="26"/>
          <w:szCs w:val="26"/>
        </w:rPr>
      </w:pPr>
      <w:r>
        <w:rPr>
          <w:rFonts w:ascii="Times New Roman" w:cs="Times New Roman" w:hAnsi="Times New Roman"/>
          <w:sz w:val="26"/>
          <w:szCs w:val="26"/>
        </w:rPr>
        <w:t xml:space="preserve">The Fiscal Responsibility Commission is the chief custodian of the Fiscal Responsibility Act,  2007. </w:t>
      </w:r>
    </w:p>
    <w:p>
      <w:pPr>
        <w:pStyle w:val="15"/>
        <w:tabs>
          <w:tab w:val="left" w:pos="22860"/>
        </w:tabs>
        <w:jc w:val="both"/>
        <w:rPr>
          <w:rFonts w:ascii="Times New Roman" w:cs="Times New Roman" w:hAnsi="Times New Roman"/>
          <w:b/>
          <w:sz w:val="26"/>
          <w:szCs w:val="26"/>
        </w:rPr>
      </w:pPr>
    </w:p>
    <w:p>
      <w:pPr>
        <w:tabs>
          <w:tab w:val="left" w:pos="22860"/>
        </w:tabs>
        <w:jc w:val="both"/>
        <w:rPr>
          <w:rFonts w:ascii="Times New Roman" w:cs="Times New Roman" w:hAnsi="Times New Roman"/>
          <w:b/>
          <w:sz w:val="26"/>
          <w:szCs w:val="26"/>
        </w:rPr>
      </w:pPr>
      <w:r>
        <w:rPr>
          <w:rFonts w:ascii="Times New Roman" w:cs="Times New Roman" w:hAnsi="Times New Roman"/>
          <w:b/>
          <w:sz w:val="26"/>
          <w:szCs w:val="26"/>
        </w:rPr>
        <w:t xml:space="preserve"> Resolutions</w:t>
      </w:r>
    </w:p>
    <w:p>
      <w:pPr>
        <w:tabs>
          <w:tab w:val="left" w:pos="22860"/>
        </w:tabs>
        <w:jc w:val="both"/>
        <w:rPr>
          <w:rFonts w:ascii="Times New Roman" w:cs="Times New Roman" w:hAnsi="Times New Roman"/>
          <w:sz w:val="26"/>
          <w:szCs w:val="26"/>
        </w:rPr>
      </w:pPr>
      <w:r>
        <w:rPr>
          <w:rFonts w:ascii="Times New Roman" w:cs="Times New Roman" w:hAnsi="Times New Roman"/>
          <w:sz w:val="26"/>
          <w:szCs w:val="26"/>
        </w:rPr>
        <w:t>The workshop adopted the following resolutions:</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The National Assembly should speed up the amendment of FRA 2007 to include sanctions as this will improve the nation’s independent revenue</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FRC, NUPRC and NEITI should strengthen compliance with fiscal governance frameworks, including timely submission of mandated reports.</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FRC, NUPRC and NEITI should support digitalization initiatives aimed at improving data accuracy and reducing revenue leakages.</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Regulatory agencies should work with the National Assembly to improve clarity on fiscal obligations and ensure alignment with relevant legislation.</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Regulatory agencies should implement fiscal policies and optimize revenue management to ensure long-term fiscal sustainability.</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NUPRC and NMDPRA should fully implement the PIA 2021 to resolve investment challenges, improve operational efficiency, and ensure clear governance roles.</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Focus on sustainable development by integrating resource replenishment, environmental management, and stakeholder communication into sector practices.</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NEITI, NUPRC should focus on legal clarity, competitiveness, and best practices to make the sector globally competitive and efficient.</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The Federal Government should review outdated fiscal regulations to align them with emerging realities in the upstream sector first with policies before the laws.</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Regulatory agencies should prioritize investment in technology-driven monitoring and performance-tracking tools.</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Civil society organizations should continue to play an active role in monitoring sector governance and promoting public accountability.</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The National Assembly should increase oversight of implementation of the PIA;</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NEITI should review status of implementation of contract transparency, beneficial ownership, and the HCDT;</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 xml:space="preserve">The House Committee on Petroleum Upstream should identify and address gaps in legislation; </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Stakeholders (FRC, NUPRC, NEITI, CSOs, National Assembly, Media) should engage more with NEITI reports and recommendations.</w:t>
      </w:r>
    </w:p>
    <w:p>
      <w:pPr>
        <w:pStyle w:val="15"/>
        <w:numPr>
          <w:ilvl w:val="0"/>
          <w:numId w:val="3"/>
        </w:numPr>
        <w:tabs>
          <w:tab w:val="left" w:pos="22860"/>
        </w:tabs>
        <w:jc w:val="both"/>
        <w:rPr>
          <w:rFonts w:ascii="Times New Roman" w:cs="Times New Roman" w:hAnsi="Times New Roman"/>
          <w:sz w:val="26"/>
          <w:szCs w:val="26"/>
        </w:rPr>
      </w:pPr>
      <w:r>
        <w:rPr>
          <w:rFonts w:ascii="Times New Roman" w:cs="Times New Roman" w:hAnsi="Times New Roman"/>
          <w:sz w:val="26"/>
          <w:szCs w:val="26"/>
        </w:rPr>
        <w:t xml:space="preserve">NUPRC should ensure OPEX is published in accessible online portal so that host communities will know their entitlements. </w:t>
      </w:r>
    </w:p>
    <w:p>
      <w:pPr>
        <w:tabs>
          <w:tab w:val="left" w:pos="22860"/>
        </w:tabs>
        <w:jc w:val="both"/>
        <w:rPr>
          <w:rFonts w:ascii="Times New Roman" w:cs="Times New Roman" w:hAnsi="Times New Roman"/>
          <w:sz w:val="26"/>
          <w:szCs w:val="26"/>
        </w:rPr>
      </w:pPr>
    </w:p>
    <w:p>
      <w:pPr>
        <w:tabs>
          <w:tab w:val="left" w:pos="22860"/>
        </w:tabs>
        <w:jc w:val="both"/>
        <w:rPr>
          <w:rFonts w:ascii="Times New Roman" w:cs="Times New Roman" w:hAnsi="Times New Roman"/>
          <w:b/>
          <w:sz w:val="26"/>
          <w:szCs w:val="26"/>
        </w:rPr>
      </w:pPr>
    </w:p>
    <w:p>
      <w:pPr>
        <w:tabs>
          <w:tab w:val="left" w:pos="22860"/>
        </w:tabs>
        <w:jc w:val="both"/>
        <w:rPr>
          <w:rFonts w:ascii="Times New Roman" w:cs="Times New Roman" w:hAnsi="Times New Roman"/>
          <w:b/>
          <w:sz w:val="26"/>
          <w:szCs w:val="26"/>
        </w:rPr>
      </w:pPr>
      <w:r>
        <w:rPr>
          <w:rFonts w:ascii="Times New Roman" w:cs="Times New Roman" w:hAnsi="Times New Roman"/>
          <w:b/>
          <w:sz w:val="26"/>
          <w:szCs w:val="26"/>
        </w:rPr>
        <w:t>Conclusion</w:t>
      </w:r>
    </w:p>
    <w:p>
      <w:pPr>
        <w:tabs>
          <w:tab w:val="left" w:pos="22860"/>
        </w:tabs>
        <w:jc w:val="both"/>
        <w:rPr>
          <w:rFonts w:ascii="Times New Roman" w:cs="Times New Roman" w:hAnsi="Times New Roman"/>
          <w:sz w:val="26"/>
          <w:szCs w:val="26"/>
        </w:rPr>
      </w:pPr>
      <w:r>
        <w:rPr>
          <w:rFonts w:ascii="Times New Roman" w:cs="Times New Roman" w:hAnsi="Times New Roman"/>
          <w:sz w:val="26"/>
          <w:szCs w:val="26"/>
        </w:rPr>
        <w:t>Stakeholders expressed appreciation to the Fiscal Responsibility Commission, House Committee and OrderPaper for convening this important workshop, and to all facilitators, resource persons, and stakeholders for their contributions to the discussions.</w:t>
      </w:r>
    </w:p>
    <w:p>
      <w:pPr>
        <w:tabs>
          <w:tab w:val="left" w:pos="22860"/>
        </w:tabs>
        <w:jc w:val="both"/>
        <w:rPr>
          <w:rFonts w:ascii="Times New Roman" w:cs="Times New Roman" w:hAnsi="Times New Roman"/>
          <w:b/>
          <w:sz w:val="26"/>
          <w:szCs w:val="26"/>
        </w:rPr>
      </w:pPr>
      <w:r>
        <w:rPr>
          <w:rFonts w:ascii="Times New Roman" w:cs="Times New Roman" w:hAnsi="Times New Roman"/>
          <w:b/>
          <w:sz w:val="26"/>
          <w:szCs w:val="26"/>
        </w:rPr>
        <w:t>Closing</w:t>
      </w:r>
    </w:p>
    <w:p>
      <w:pPr>
        <w:tabs>
          <w:tab w:val="left" w:pos="22860"/>
        </w:tabs>
        <w:jc w:val="both"/>
        <w:rPr>
          <w:rFonts w:ascii="Times New Roman" w:cs="Times New Roman" w:hAnsi="Times New Roman"/>
          <w:sz w:val="26"/>
          <w:szCs w:val="26"/>
        </w:rPr>
      </w:pPr>
      <w:r>
        <w:rPr>
          <w:rFonts w:ascii="Times New Roman" w:cs="Times New Roman" w:hAnsi="Times New Roman"/>
          <w:sz w:val="26"/>
          <w:szCs w:val="26"/>
        </w:rPr>
        <w:t>This communiqué is hereby issued on 1 December 2025 at Hawthorn Hotel, Off Ahmadu Bello Way, Area II, Garki, Abuja.</w:t>
      </w:r>
    </w:p>
    <w:p>
      <w:pPr>
        <w:tabs>
          <w:tab w:val="left" w:pos="22860"/>
        </w:tabs>
        <w:jc w:val="both"/>
        <w:rPr>
          <w:rFonts w:ascii="Times New Roman" w:cs="Times New Roman" w:hAnsi="Times New Roman"/>
          <w:b/>
          <w:sz w:val="26"/>
          <w:szCs w:val="26"/>
        </w:rPr>
      </w:pPr>
      <w:r>
        <w:rPr>
          <w:rFonts w:ascii="Times New Roman" w:cs="Times New Roman" w:hAnsi="Times New Roman"/>
          <w:b/>
          <w:sz w:val="26"/>
          <w:szCs w:val="26"/>
        </w:rPr>
        <w:t>Signed:</w:t>
      </w:r>
    </w:p>
    <w:p>
      <w:pPr>
        <w:tabs>
          <w:tab w:val="left" w:pos="22860"/>
        </w:tabs>
        <w:jc w:val="both"/>
        <w:rPr>
          <w:rFonts w:ascii="Times New Roman" w:cs="Times New Roman" w:hAnsi="Times New Roman"/>
          <w:sz w:val="26"/>
          <w:szCs w:val="26"/>
        </w:rPr>
      </w:pPr>
      <w:r>
        <w:rPr>
          <w:rFonts w:ascii="Times New Roman" w:cs="Times New Roman" w:hAnsi="Times New Roman"/>
          <w:sz w:val="26"/>
          <w:szCs w:val="26"/>
        </w:rPr>
        <w:t>Rapporteurs</w:t>
      </w:r>
    </w:p>
    <w:p>
      <w:pPr>
        <w:tabs>
          <w:tab w:val="left" w:pos="22860"/>
        </w:tabs>
        <w:jc w:val="both"/>
        <w:rPr>
          <w:rFonts w:ascii="Times New Roman" w:cs="Times New Roman" w:hAnsi="Times New Roman"/>
          <w:b/>
          <w:sz w:val="26"/>
          <w:szCs w:val="26"/>
        </w:rPr>
      </w:pPr>
      <w:r>
        <w:rPr>
          <w:rFonts w:ascii="Times New Roman" w:cs="Times New Roman" w:hAnsi="Times New Roman"/>
          <w:b/>
          <w:sz w:val="26"/>
          <w:szCs w:val="26"/>
        </w:rPr>
        <w:t>Adopted by:</w:t>
      </w:r>
      <w:bookmarkStart w:id="0" w:name="_GoBack"/>
      <w:bookmarkEnd w:id="0"/>
    </w:p>
    <w:p>
      <w:pPr>
        <w:tabs>
          <w:tab w:val="left" w:pos="22860"/>
        </w:tabs>
        <w:jc w:val="both"/>
        <w:rPr>
          <w:rFonts w:ascii="Times New Roman" w:cs="Times New Roman" w:hAnsi="Times New Roman"/>
          <w:sz w:val="26"/>
          <w:szCs w:val="26"/>
        </w:rPr>
      </w:pPr>
    </w:p>
    <w:sectPr>
      <w:footerReference w:type="default" r:id="rId2"/>
      <w:pgSz w:w="12240" w:h="15840"/>
      <w:pgMar w:top="1440" w:right="1440" w:bottom="864" w:left="1440" w:header="720" w:footer="720" w:gutter="0"/>
      <w:titlePg/>
      <w:docGrid w:linePitch="360"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E0002EFF" w:usb1="C000785B" w:usb2="00000009" w:usb3="00000000" w:csb0="000001FF" w:csb1="00000000"/>
  </w:font>
  <w:font w:name="宋体">
    <w:panose1 w:val="00000000000000000000"/>
    <w:charset w:val="00"/>
    <w:family w:val="auto"/>
    <w:pitch w:val="variable"/>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Arial">
    <w:panose1 w:val="00000000000000000000"/>
    <w:charset w:val="00"/>
    <w:family w:val="auto"/>
    <w:pitch w:val="variable"/>
    <w:sig w:usb0="00000000" w:usb1="00000000" w:usb2="00000000" w:usb3="00000000" w:csb0="00000000" w:csb1="00000000"/>
  </w:font>
  <w:font w:name="Luxi Sans">
    <w:altName w:val="Droid Sans"/>
    <w:panose1 w:val="00000000000000000000"/>
    <w:charset w:val="00"/>
    <w:family w:val="auto"/>
    <w:pitch w:val="variable"/>
    <w:sig w:usb0="00000000" w:usb1="00000000" w:usb2="00000000" w:usb3="00000000" w:csb0="00000000" w:csb1="00000000"/>
  </w:font>
  <w:font w:name="HONOR black body">
    <w:altName w:val="Droid Sans"/>
    <w:panose1 w:val="00000000000000000000"/>
    <w:charset w:val="00"/>
    <w:family w:val="auto"/>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sdt>
    <w:sdtPr>
      <w:id w:val="-1467832930"/>
      <w:docPartObj>
        <w:docPartGallery/>
        <w:docPartUnique/>
      </w:docPartObj>
    </w:sdtPr>
    <w:sdtContent>
      <w:p>
        <w:pPr>
          <w:pStyle w:val="18"/>
          <w:tabs>
            <w:tab w:val="center" w:pos="4680"/>
            <w:tab w:val="right" w:pos="9360"/>
          </w:tabs>
          <w:jc w:val="center"/>
        </w:pPr>
        <w:r>
          <w:fldChar w:fldCharType="begin"/>
        </w:r>
        <w:r>
          <w:instrText xml:space="preserve"> PAGE   \* MERGEFORMAT </w:instrText>
        </w:r>
        <w:r>
          <w:fldChar w:fldCharType="separate"/>
        </w:r>
        <w:r>
          <w:t>2</w:t>
        </w:r>
        <w:r>
          <w:fldChar w:fldCharType="end"/>
        </w:r>
      </w:p>
    </w:sdtContent>
  </w:sdt>
  <w:p>
    <w:pPr>
      <w:pStyle w:val="18"/>
      <w:tabs>
        <w:tab w:val="center" w:pos="4680"/>
        <w:tab w:val="right" w:pos="9360"/>
      </w:tabs>
    </w:pP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multiLevelType w:val="hybridMultilevel"/>
    <w:tmpl w:val="2B560FB4"/>
    <w:lvl w:ilvl="0">
      <w:start w:val="1"/>
      <w:numFmt w:val="lowerRoman"/>
      <w:lvlRestart w:val="0"/>
      <w:lvlText w:val="%1."/>
      <w:lvlJc w:val="righ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multiLevelType w:val="hybridMultilevel"/>
    <w:tmpl w:val="D9201C0E"/>
    <w:lvl w:ilvl="0">
      <w:start w:val="1"/>
      <w:numFmt w:val="lowerLetter"/>
      <w:lvlRestart w:val="0"/>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multiLevelType w:val="hybridMultilevel"/>
    <w:tmpl w:val="58704B0A"/>
    <w:lvl w:ilvl="0">
      <w:start w:val="1"/>
      <w:numFmt w:val="lowerLetter"/>
      <w:lvlRestart w:val="0"/>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0"/>
  </w:num>
  <w:num w:numId="2">
    <w:abstractNumId w:val="1"/>
  </w:num>
  <w:num w:numId="3">
    <w:abstractNumId w:val="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367"/>
  <w:bordersDoNotSurroundHeader/>
  <w:bordersDoNotSurroundFooter/>
  <w:defaultTabStop w:val="720"/>
  <w:drawingGridHorizontalSpacing w:val="110"/>
  <w:drawingGridVerticalSpacing w:val="156"/>
  <w:displayHorizontalDrawingGridEvery w:val="0"/>
  <w:displayVerticalDrawingGridEvery w:val="1"/>
  <w:compat>
    <w:spaceForUL/>
    <w:growAutofit/>
    <w:compatSetting w:name="compatibilityMode" w:uri="http://schemas.microsoft.com/office/word" w:val="14"/>
  </w:compat>
  <m:mathPr>
    <m:mathFont m:val="Cambria Math"/>
    <m:brkBin m:val="before"/>
    <m:brkBinSub m:val="--"/>
    <m:smallFrac/>
    <m:dispDef/>
    <m:lMargin m:val="0"/>
    <m:rMargin m:val="0"/>
    <m:defJc m:val="centerGroup"/>
    <m:wrapIndent m:val="1440"/>
    <m:intLim m:val="subSup"/>
    <m:naryLim m:val="undOvr"/>
  </m:mathPr>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spacing w:after="200" w:line="276" w:lineRule="auto"/>
    </w:pPr>
    <w:rPr>
      <w:rFonts w:ascii="Calibri" w:eastAsia="Calibri" w:cs="Arial" w:hAnsi="Calibri"/>
      <w:sz w:val="22"/>
      <w:szCs w:val="22"/>
      <w:lang w:val="en-US" w:eastAsia="en-US" w:bidi="ar-SA"/>
    </w:rPr>
  </w:style>
  <w:style w:type="paragraph" w:styleId="1">
    <w:name w:val="heading 1"/>
    <w:basedOn w:val="0"/>
    <w:next w:val="0"/>
    <w:pPr>
      <w:keepNext/>
      <w:keepLines/>
      <w:spacing w:before="340" w:after="330" w:line="578" w:lineRule="auto"/>
      <w:outlineLvl w:val="0"/>
    </w:pPr>
    <w:rPr>
      <w:b/>
      <w:bCs/>
      <w:kern w:val="44"/>
      <w:sz w:val="44"/>
    </w:rPr>
  </w:style>
  <w:style w:type="paragraph" w:styleId="2">
    <w:name w:val="heading 2"/>
    <w:basedOn w:val="0"/>
    <w:next w:val="0"/>
    <w:pPr>
      <w:keepNext/>
      <w:keepLines/>
      <w:spacing w:before="260" w:after="260" w:line="415" w:lineRule="auto"/>
      <w:outlineLvl w:val="1"/>
    </w:pPr>
    <w:rPr>
      <w:rFonts w:ascii="Luxi Sans" w:eastAsia="HONOR black body" w:hAnsi="Luxi Sans"/>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paragraph" w:customStyle="1" w:styleId="15">
    <w:name w:val="List Paragraph"/>
    <w:basedOn w:val="0"/>
    <w:pPr>
      <w:ind w:left="720"/>
      <w:contextualSpacing/>
    </w:pPr>
  </w:style>
  <w:style w:type="character" w:styleId="16">
    <w:name w:val="Hyperlink"/>
    <w:basedOn w:val="10"/>
    <w:rPr>
      <w:color w:val="0000FF"/>
      <w:u w:val="single"/>
    </w:rPr>
  </w:style>
  <w:style w:type="paragraph" w:styleId="17">
    <w:name w:val="header"/>
    <w:basedOn w:val="0"/>
    <w:pPr>
      <w:tabs>
        <w:tab w:val="center" w:pos="4680"/>
        <w:tab w:val="right" w:pos="9360"/>
      </w:tabs>
      <w:spacing w:after="0" w:line="240" w:lineRule="auto"/>
    </w:pPr>
  </w:style>
  <w:style w:type="paragraph" w:styleId="18">
    <w:name w:val="footer"/>
    <w:basedOn w:val="0"/>
    <w:pPr>
      <w:tabs>
        <w:tab w:val="center" w:pos="4680"/>
        <w:tab w:val="right" w:pos="9360"/>
      </w:tabs>
      <w:spacing w:after="0" w:line="240" w:lineRule="auto"/>
    </w:pPr>
  </w:style>
  <w:style w:type="paragraph" w:styleId="19">
    <w:name w:val="Balloon Text"/>
    <w:basedOn w:val="0"/>
    <w:pPr>
      <w:spacing w:after="0" w:line="240" w:lineRule="auto"/>
    </w:pPr>
    <w:rPr>
      <w:rFonts w:ascii="Tahoma" w:cs="Tahoma" w:hAnsi="Tahoma"/>
      <w:sz w:val="16"/>
      <w:szCs w:val="1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37</TotalTime>
  <Application>Honor_Office</Application>
  <Pages>8</Pages>
  <Words>1659</Words>
  <Characters>10468</Characters>
  <Lines>211</Lines>
  <Paragraphs>62</Paragraphs>
  <CharactersWithSpaces>12049</CharactersWithSpaces>
</Properties>
</file>

<file path=docProps/core.xml><?xml version="1.0" encoding="utf-8"?>
<cp:coreProperties xmlns:cp="http://schemas.openxmlformats.org/package/2006/metadata/core-properties" xmlns:dc="http://purl.org/dc/elements/1.1/" xmlns:dcterms="http://purl.org/dc/terms/" xmlns:xsi="http://www.w3.org/2001/XMLSchema-instance">
  <cp:lastModifiedBy>HONOR Docs</cp:lastModifiedBy>
  <cp:revision>0</cp:revision>
  <dcterms:modified xsi:type="dcterms:W3CDTF">2025-12-01T07:49:29Z</dcterms:modified>
</cp:coreProperties>
</file>